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38" w:rsidRPr="009C3A38" w:rsidRDefault="009C3A38" w:rsidP="009C3A38">
      <w:pPr>
        <w:shd w:val="clear" w:color="auto" w:fill="FFFFFF"/>
        <w:spacing w:before="408" w:after="144" w:line="240" w:lineRule="auto"/>
        <w:ind w:firstLine="708"/>
        <w:jc w:val="both"/>
        <w:textAlignment w:val="baseline"/>
        <w:outlineLvl w:val="2"/>
        <w:rPr>
          <w:rFonts w:asciiTheme="majorHAnsi" w:eastAsia="Times New Roman" w:hAnsiTheme="majorHAnsi" w:cs="Arial"/>
          <w:bCs/>
          <w:color w:val="1B1B1B"/>
          <w:sz w:val="24"/>
          <w:szCs w:val="24"/>
          <w:lang w:eastAsia="pl-PL"/>
        </w:rPr>
      </w:pPr>
      <w:r w:rsidRPr="009C3A38">
        <w:rPr>
          <w:rFonts w:asciiTheme="majorHAnsi" w:eastAsia="Times New Roman" w:hAnsiTheme="majorHAnsi" w:cs="Arial"/>
          <w:bCs/>
          <w:color w:val="1B1B1B"/>
          <w:sz w:val="24"/>
          <w:szCs w:val="24"/>
          <w:lang w:eastAsia="pl-PL"/>
        </w:rPr>
        <w:t xml:space="preserve">Urząd Gminy w Świnnej informuje, że zgodnie z rozporządzeniem Ministra Gospodarki z dnia </w:t>
      </w:r>
      <w:r w:rsidRPr="009C3A38">
        <w:rPr>
          <w:rFonts w:asciiTheme="majorHAnsi" w:eastAsia="Times New Roman" w:hAnsiTheme="majorHAnsi" w:cs="Arial"/>
          <w:bCs/>
          <w:color w:val="1B1B1B"/>
          <w:sz w:val="24"/>
          <w:szCs w:val="24"/>
          <w:lang w:eastAsia="pl-PL"/>
        </w:rPr>
        <w:t>13 grudnia 2010 r.</w:t>
      </w:r>
      <w:r w:rsidRPr="009C3A38">
        <w:rPr>
          <w:rFonts w:asciiTheme="majorHAnsi" w:eastAsia="Times New Roman" w:hAnsiTheme="majorHAnsi" w:cs="Arial"/>
          <w:bCs/>
          <w:color w:val="1B1B1B"/>
          <w:sz w:val="24"/>
          <w:szCs w:val="24"/>
          <w:lang w:eastAsia="pl-PL"/>
        </w:rPr>
        <w:t xml:space="preserve"> </w:t>
      </w:r>
      <w:r w:rsidRPr="009C3A38">
        <w:rPr>
          <w:rFonts w:asciiTheme="majorHAnsi" w:eastAsia="Times New Roman" w:hAnsiTheme="majorHAnsi" w:cs="Arial"/>
          <w:bCs/>
          <w:color w:val="1B1B1B"/>
          <w:sz w:val="24"/>
          <w:szCs w:val="24"/>
          <w:lang w:eastAsia="pl-PL"/>
        </w:rPr>
        <w:t>w sprawie wymagań w zakresie wykorzystywania wyrobów zawierających azbest oraz wykorzystywania i oczyszczania instalacji lub urządzeń, w których były lub są wykorzysty</w:t>
      </w:r>
      <w:r w:rsidRPr="009C3A38">
        <w:rPr>
          <w:rFonts w:asciiTheme="majorHAnsi" w:eastAsia="Times New Roman" w:hAnsiTheme="majorHAnsi" w:cs="Arial"/>
          <w:bCs/>
          <w:color w:val="1B1B1B"/>
          <w:sz w:val="24"/>
          <w:szCs w:val="24"/>
          <w:lang w:eastAsia="pl-PL"/>
        </w:rPr>
        <w:t xml:space="preserve">wane wyroby zawierające azbest, </w:t>
      </w:r>
      <w: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§ </w:t>
      </w:r>
      <w:r w:rsidRPr="009C3A38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10.</w:t>
      </w:r>
      <w: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br/>
        <w:t xml:space="preserve">pkt. </w:t>
      </w:r>
      <w:r w:rsidRPr="009C3A38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2.</w:t>
      </w:r>
      <w: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>,</w:t>
      </w:r>
      <w:r w:rsidRPr="009C3A38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 Wykorzystujący wyroby zawierające azbest ujmuje wynik inwentaryzacji </w:t>
      </w:r>
      <w:r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br/>
      </w:r>
      <w:r w:rsidRPr="009C3A38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w "Informacji o wyrobach zawierających azbest" stanowiącej załącznik nr 3 do rozporządzenia i </w:t>
      </w:r>
      <w:r w:rsidRPr="009C3A38">
        <w:rPr>
          <w:rFonts w:asciiTheme="majorHAnsi" w:hAnsiTheme="majorHAnsi" w:cs="Courier New"/>
          <w:color w:val="2C363A"/>
          <w:sz w:val="24"/>
          <w:szCs w:val="24"/>
          <w:u w:val="single"/>
          <w:shd w:val="clear" w:color="auto" w:fill="FFFFFF"/>
        </w:rPr>
        <w:t>przedkłada ją corocznie w terminie do dnia 31 stycznia</w:t>
      </w:r>
      <w:r w:rsidRPr="009C3A38">
        <w:rPr>
          <w:rFonts w:asciiTheme="majorHAnsi" w:hAnsiTheme="majorHAnsi" w:cs="Courier New"/>
          <w:color w:val="2C363A"/>
          <w:sz w:val="24"/>
          <w:szCs w:val="24"/>
          <w:shd w:val="clear" w:color="auto" w:fill="FFFFFF"/>
        </w:rPr>
        <w:t xml:space="preserve"> właściwemu marszałkowi województwa.</w:t>
      </w:r>
    </w:p>
    <w:p w:rsidR="00D103C6" w:rsidRPr="00252C34" w:rsidRDefault="00252C34" w:rsidP="009C3A38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Theme="majorHAnsi" w:eastAsia="Times New Roman" w:hAnsiTheme="majorHAnsi" w:cs="Arial"/>
          <w:b/>
          <w:bCs/>
          <w:i/>
          <w:color w:val="1B1B1B"/>
          <w:sz w:val="39"/>
          <w:szCs w:val="39"/>
          <w:lang w:eastAsia="pl-PL"/>
        </w:rPr>
      </w:pPr>
      <w:r w:rsidRPr="00252C34">
        <w:rPr>
          <w:rFonts w:asciiTheme="majorHAnsi" w:eastAsia="Times New Roman" w:hAnsiTheme="majorHAnsi" w:cs="Arial"/>
          <w:b/>
          <w:bCs/>
          <w:i/>
          <w:color w:val="1B1B1B"/>
          <w:sz w:val="39"/>
          <w:szCs w:val="39"/>
          <w:lang w:eastAsia="pl-PL"/>
        </w:rPr>
        <w:t>Jak post</w:t>
      </w:r>
      <w:r w:rsidR="00D103C6" w:rsidRPr="00D103C6">
        <w:rPr>
          <w:rFonts w:asciiTheme="majorHAnsi" w:eastAsia="Times New Roman" w:hAnsiTheme="majorHAnsi" w:cs="Arial"/>
          <w:b/>
          <w:bCs/>
          <w:i/>
          <w:color w:val="1B1B1B"/>
          <w:sz w:val="39"/>
          <w:szCs w:val="39"/>
          <w:lang w:eastAsia="pl-PL"/>
        </w:rPr>
        <w:t xml:space="preserve">ępować z wyrobami zawierającymi  </w:t>
      </w:r>
      <w:r w:rsidRPr="00252C34">
        <w:rPr>
          <w:rFonts w:asciiTheme="majorHAnsi" w:eastAsia="Times New Roman" w:hAnsiTheme="majorHAnsi" w:cs="Arial"/>
          <w:b/>
          <w:bCs/>
          <w:i/>
          <w:color w:val="1B1B1B"/>
          <w:sz w:val="39"/>
          <w:szCs w:val="39"/>
          <w:lang w:eastAsia="pl-PL"/>
        </w:rPr>
        <w:t>azbest?</w:t>
      </w:r>
    </w:p>
    <w:p w:rsidR="00252C34" w:rsidRPr="00252C34" w:rsidRDefault="00252C34" w:rsidP="009C3A38">
      <w:pPr>
        <w:shd w:val="clear" w:color="auto" w:fill="FFFFFF"/>
        <w:spacing w:after="24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252C34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Masz wyroby zawierające azbest? Zapoznaj się ze wskazówkami i zasadami inwentaryzacji i oznakowania wyrobów, miejsc i instalacji zawierających azbest.</w:t>
      </w:r>
    </w:p>
    <w:p w:rsidR="00252C34" w:rsidRPr="00252C34" w:rsidRDefault="00252C34" w:rsidP="009C3A3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D103C6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Jeśli masz wyroby zawierające azbest:</w:t>
      </w:r>
    </w:p>
    <w:p w:rsidR="00252C34" w:rsidRPr="00252C34" w:rsidRDefault="00252C34" w:rsidP="009C3A38">
      <w:pPr>
        <w:shd w:val="clear" w:color="auto" w:fill="FFFFFF"/>
        <w:spacing w:after="24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252C34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Zinwentaryzuj wyroby zawierające azbest, instalacje lub urządzenia zawierające azbest, drogi utwardzone odpadami zawierającymi azbest, rury azbestowo-cementowe oraz usunięte wyroby zawierające azbest.</w:t>
      </w:r>
    </w:p>
    <w:p w:rsidR="00252C34" w:rsidRPr="00D103C6" w:rsidRDefault="00252C34" w:rsidP="009C3A3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Zrób „Ocenę stanu i możliwości bezpiecznego użytkowania wyrobów zawierających azbest”.</w:t>
      </w:r>
    </w:p>
    <w:p w:rsidR="00D103C6" w:rsidRDefault="00252C34" w:rsidP="009C3A3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Wypełnij Ocenę w 1 egzemplarzu. Podlicz wynik.</w:t>
      </w:r>
    </w:p>
    <w:p w:rsidR="00252C34" w:rsidRDefault="00252C34" w:rsidP="009C3A3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Wpisz wynik Oceny w „Informację o wyrobach zawierających azbest".</w:t>
      </w:r>
    </w:p>
    <w:p w:rsidR="00D103C6" w:rsidRPr="00D103C6" w:rsidRDefault="00D103C6" w:rsidP="009C3A38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</w:p>
    <w:p w:rsidR="00252C34" w:rsidRPr="00252C34" w:rsidRDefault="00252C34" w:rsidP="009C3A38">
      <w:pPr>
        <w:shd w:val="clear" w:color="auto" w:fill="FFFFFF"/>
        <w:spacing w:after="24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252C34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 xml:space="preserve">Wynik Oceny wskaże Ci czy wymagane jest pilne usunięcie wyrobu azbestowego lub jego zabezpieczenie (I stopień pilności) czy konieczna jest ocena wyrobu za rok </w:t>
      </w:r>
      <w:r w:rsid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br/>
      </w:r>
      <w:r w:rsidRPr="00252C34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(II stopień pilności) czy możesz ocenić stan wyrobu za 5 lat (III stopień pilności).</w:t>
      </w:r>
    </w:p>
    <w:p w:rsidR="00252C34" w:rsidRPr="00252C34" w:rsidRDefault="00A33FBF" w:rsidP="009C3A38">
      <w:pPr>
        <w:shd w:val="clear" w:color="auto" w:fill="FFFFFF"/>
        <w:spacing w:after="24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622935</wp:posOffset>
                </wp:positionV>
                <wp:extent cx="5915025" cy="14001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52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.4pt;margin-top:49.05pt;width:465.75pt;height:11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" filled="f" strokecolor="#243f60 [1604]" strokeweight="2pt">
                <v:stroke opacity="34181f"/>
              </v:rect>
            </w:pict>
          </mc:Fallback>
        </mc:AlternateContent>
      </w:r>
      <w:r w:rsidR="00252C34" w:rsidRPr="00252C34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Przechowuj Ocenę wraz z dokumentacją miejsca zawierającego azbest, obiektu, urządzenia budowlanego lub instalacji przemysłowej lub z książką obiektu budowlanego.</w:t>
      </w:r>
    </w:p>
    <w:p w:rsidR="00252C34" w:rsidRPr="00D103C6" w:rsidRDefault="00252C34" w:rsidP="009C3A3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Wypełnij „Informację o wyrobach zawierających azbest" w 2 egzemplarzach .</w:t>
      </w:r>
    </w:p>
    <w:p w:rsidR="00252C34" w:rsidRPr="00D103C6" w:rsidRDefault="00252C34" w:rsidP="009C3A3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u w:val="single"/>
          <w:lang w:eastAsia="pl-PL"/>
        </w:rPr>
      </w:pPr>
      <w:r w:rsidRPr="00D103C6">
        <w:rPr>
          <w:rFonts w:asciiTheme="majorHAnsi" w:eastAsia="Times New Roman" w:hAnsiTheme="majorHAnsi" w:cs="Arial"/>
          <w:color w:val="1B1B1B"/>
          <w:sz w:val="24"/>
          <w:szCs w:val="24"/>
          <w:u w:val="single"/>
          <w:lang w:eastAsia="pl-PL"/>
        </w:rPr>
        <w:t>Złóż Informację do 31 stycznia:</w:t>
      </w:r>
    </w:p>
    <w:p w:rsidR="00A33FBF" w:rsidRDefault="00D103C6" w:rsidP="009C3A3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J</w:t>
      </w:r>
      <w:r w:rsidR="00252C34"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eśli jesteś osobą fizyczną – w swoim urzędzie gminy lub miasta (wójtowi, burmistrzowi lub prezydentowi miasta)</w:t>
      </w:r>
      <w:r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 xml:space="preserve">. </w:t>
      </w:r>
    </w:p>
    <w:p w:rsidR="00252C34" w:rsidRPr="00D103C6" w:rsidRDefault="00D103C6" w:rsidP="00A33FBF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J</w:t>
      </w:r>
      <w:r w:rsidR="00252C34"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eśli jesteś osobą prawną – w swoim urzędzie marszałkowskim (marszałkowi województwa).</w:t>
      </w:r>
    </w:p>
    <w:p w:rsidR="00252C34" w:rsidRPr="00252C34" w:rsidRDefault="00252C34" w:rsidP="00A33FBF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252C34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Drugi egzemplarz Informacji jest dla Ciebie, przechowuj przez rok.</w:t>
      </w:r>
    </w:p>
    <w:p w:rsidR="00A33FBF" w:rsidRDefault="00A33FBF" w:rsidP="009C3A3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</w:pPr>
    </w:p>
    <w:p w:rsidR="00252C34" w:rsidRPr="00252C34" w:rsidRDefault="00252C34" w:rsidP="009C3A38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bookmarkStart w:id="0" w:name="_GoBack"/>
      <w:bookmarkEnd w:id="0"/>
      <w:r w:rsidRPr="00D103C6">
        <w:rPr>
          <w:rFonts w:asciiTheme="majorHAnsi" w:eastAsia="Times New Roman" w:hAnsiTheme="majorHAnsi" w:cs="Arial"/>
          <w:b/>
          <w:bCs/>
          <w:color w:val="1B1B1B"/>
          <w:sz w:val="24"/>
          <w:szCs w:val="24"/>
          <w:lang w:eastAsia="pl-PL"/>
        </w:rPr>
        <w:t>Jeśli masz instalację lub urządzenia zawierające azbest albo rury azbestowo-cementowych:</w:t>
      </w:r>
    </w:p>
    <w:p w:rsidR="00252C34" w:rsidRPr="00D103C6" w:rsidRDefault="00252C34" w:rsidP="009C3A3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Oznakuj instalacje lub urządzenia zawierające azbest albo rury azbestowo-cementowe wyłączone z użytkowania i pozostawione w ziemi.</w:t>
      </w:r>
    </w:p>
    <w:p w:rsidR="00252C34" w:rsidRPr="00D103C6" w:rsidRDefault="00252C34" w:rsidP="009C3A3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D103C6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t>Oznakuj rury azbestowo-cementowych na stałych elementach nadpoziomowych instalacji.</w:t>
      </w:r>
    </w:p>
    <w:p w:rsidR="00252C34" w:rsidRPr="00252C34" w:rsidRDefault="00252C34" w:rsidP="009C3A38">
      <w:pPr>
        <w:shd w:val="clear" w:color="auto" w:fill="FFFFFF"/>
        <w:spacing w:after="240" w:line="240" w:lineRule="auto"/>
        <w:jc w:val="both"/>
        <w:textAlignment w:val="baseline"/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</w:pPr>
      <w:r w:rsidRPr="00252C34">
        <w:rPr>
          <w:rFonts w:asciiTheme="majorHAnsi" w:eastAsia="Times New Roman" w:hAnsiTheme="majorHAnsi" w:cs="Arial"/>
          <w:color w:val="1B1B1B"/>
          <w:sz w:val="24"/>
          <w:szCs w:val="24"/>
          <w:lang w:eastAsia="pl-PL"/>
        </w:rPr>
        <w:lastRenderedPageBreak/>
        <w:t xml:space="preserve">Jeśli nie możesz umieścić trwałego oznakowania na instalacji lub urządzeniu zawierającym azbest oznakowanie umieść w widocznym miejscu w każdym pomieszczeniu, w którym taka instalacja lub urządzenie się znajduje i dopisz </w:t>
      </w:r>
      <w:r w:rsidRPr="00252C34">
        <w:rPr>
          <w:rFonts w:asciiTheme="majorHAnsi" w:eastAsia="Times New Roman" w:hAnsiTheme="majorHAnsi" w:cs="Arial"/>
          <w:color w:val="1B1B1B"/>
          <w:sz w:val="24"/>
          <w:szCs w:val="24"/>
          <w:u w:val="single"/>
          <w:lang w:eastAsia="pl-PL"/>
        </w:rPr>
        <w:t>„Pomieszczenie zawiera azbest”.</w:t>
      </w:r>
    </w:p>
    <w:p w:rsidR="00D53673" w:rsidRDefault="00D53673" w:rsidP="009C3A38">
      <w:pPr>
        <w:spacing w:line="240" w:lineRule="auto"/>
        <w:jc w:val="both"/>
        <w:rPr>
          <w:rFonts w:asciiTheme="majorHAnsi" w:hAnsiTheme="majorHAnsi"/>
        </w:rPr>
      </w:pPr>
      <w:r w:rsidRPr="00D103C6">
        <w:rPr>
          <w:rFonts w:asciiTheme="majorHAnsi" w:hAnsiTheme="majorHAnsi"/>
        </w:rPr>
        <w:t xml:space="preserve"> </w:t>
      </w:r>
    </w:p>
    <w:p w:rsidR="009C3A38" w:rsidRPr="009C3A38" w:rsidRDefault="009C3A38" w:rsidP="009C3A38">
      <w:pPr>
        <w:pStyle w:val="Nagwek3"/>
        <w:shd w:val="clear" w:color="auto" w:fill="FFFFFF"/>
        <w:spacing w:before="408" w:beforeAutospacing="0" w:after="144" w:afterAutospacing="0" w:line="276" w:lineRule="auto"/>
        <w:jc w:val="both"/>
        <w:textAlignment w:val="baseline"/>
        <w:rPr>
          <w:rFonts w:asciiTheme="majorHAnsi" w:hAnsiTheme="majorHAnsi" w:cs="Arial"/>
          <w:color w:val="1B1B1B"/>
          <w:sz w:val="24"/>
          <w:szCs w:val="24"/>
        </w:rPr>
      </w:pPr>
      <w:r w:rsidRPr="009C3A38">
        <w:rPr>
          <w:rFonts w:asciiTheme="majorHAnsi" w:hAnsiTheme="majorHAnsi" w:cs="Arial"/>
          <w:color w:val="1B1B1B"/>
          <w:sz w:val="24"/>
          <w:szCs w:val="24"/>
        </w:rPr>
        <w:t>Podstawa prawna</w:t>
      </w:r>
    </w:p>
    <w:p w:rsidR="009C3A38" w:rsidRPr="00A33FBF" w:rsidRDefault="009C3A38" w:rsidP="009C3A38">
      <w:pPr>
        <w:pStyle w:val="title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color w:val="1B1B1B"/>
          <w:sz w:val="20"/>
        </w:rPr>
      </w:pPr>
      <w:r w:rsidRPr="00A33FBF">
        <w:rPr>
          <w:rFonts w:asciiTheme="majorHAnsi" w:hAnsiTheme="majorHAnsi" w:cs="Arial"/>
          <w:color w:val="1B1B1B"/>
          <w:sz w:val="20"/>
        </w:rPr>
        <w:t>Ustawa z dnia 19 czerwca 1997 r. o zakazie stosowania wyrobów zawierających azbest </w:t>
      </w:r>
      <w:hyperlink r:id="rId6" w:history="1">
        <w:r w:rsidRPr="00A33FBF">
          <w:rPr>
            <w:rStyle w:val="Hipercze"/>
            <w:rFonts w:asciiTheme="majorHAnsi" w:hAnsiTheme="majorHAnsi" w:cs="Arial"/>
            <w:color w:val="0052A5"/>
            <w:sz w:val="20"/>
          </w:rPr>
          <w:t>Dz.U. 2020 poz. 1680</w:t>
        </w:r>
      </w:hyperlink>
    </w:p>
    <w:p w:rsidR="009C3A38" w:rsidRPr="00A33FBF" w:rsidRDefault="009C3A38" w:rsidP="009C3A38">
      <w:pPr>
        <w:pStyle w:val="title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color w:val="1B1B1B"/>
          <w:sz w:val="20"/>
        </w:rPr>
      </w:pPr>
      <w:r w:rsidRPr="00A33FBF">
        <w:rPr>
          <w:rFonts w:asciiTheme="majorHAnsi" w:hAnsiTheme="majorHAnsi" w:cs="Arial"/>
          <w:color w:val="1B1B1B"/>
          <w:sz w:val="20"/>
        </w:rPr>
        <w:t>Rozporządzenie Ministra Gospodarki z dnia 13 grudnia 2010 r. w sprawie wymagań w zakresie wykorzystywania wyrobów zawierających azbest oraz wykorzystywania i oczyszczania instalacji lub urządzeń, w których były lub są wykorzystywane wyroby zawierające azbest </w:t>
      </w:r>
      <w:hyperlink r:id="rId7" w:history="1">
        <w:r w:rsidRPr="00A33FBF">
          <w:rPr>
            <w:rStyle w:val="Hipercze"/>
            <w:rFonts w:asciiTheme="majorHAnsi" w:hAnsiTheme="majorHAnsi" w:cs="Arial"/>
            <w:color w:val="0052A5"/>
            <w:sz w:val="20"/>
          </w:rPr>
          <w:t>Dz.U. 2011 nr 8 poz. 31</w:t>
        </w:r>
      </w:hyperlink>
    </w:p>
    <w:p w:rsidR="009C3A38" w:rsidRPr="00A33FBF" w:rsidRDefault="009C3A38" w:rsidP="009C3A38">
      <w:pPr>
        <w:pStyle w:val="title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color w:val="1B1B1B"/>
          <w:sz w:val="20"/>
        </w:rPr>
      </w:pPr>
      <w:r w:rsidRPr="00A33FBF">
        <w:rPr>
          <w:rFonts w:asciiTheme="majorHAnsi" w:hAnsiTheme="majorHAnsi" w:cs="Arial"/>
          <w:color w:val="1B1B1B"/>
          <w:sz w:val="20"/>
        </w:rPr>
        <w:t>Rozporządzenie Ministra Gospodarki z dnia 5 sierpnia 2010 r. zmieniające rozporządzenie w sprawie sposobów i warunków bezpiecznego użytkowania i usuwania wyrobów zawierających azbest </w:t>
      </w:r>
      <w:hyperlink r:id="rId8" w:history="1">
        <w:r w:rsidRPr="00A33FBF">
          <w:rPr>
            <w:rStyle w:val="Hipercze"/>
            <w:rFonts w:asciiTheme="majorHAnsi" w:hAnsiTheme="majorHAnsi" w:cs="Arial"/>
            <w:color w:val="0052A5"/>
            <w:sz w:val="20"/>
          </w:rPr>
          <w:t>Dz.U. 2010 nr 162 poz. 1089</w:t>
        </w:r>
      </w:hyperlink>
    </w:p>
    <w:p w:rsidR="009C3A38" w:rsidRPr="00A33FBF" w:rsidRDefault="009C3A38" w:rsidP="009C3A38">
      <w:pPr>
        <w:pStyle w:val="title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color w:val="1B1B1B"/>
          <w:sz w:val="20"/>
        </w:rPr>
      </w:pPr>
      <w:r w:rsidRPr="00A33FBF">
        <w:rPr>
          <w:rFonts w:asciiTheme="majorHAnsi" w:hAnsiTheme="majorHAnsi" w:cs="Arial"/>
          <w:color w:val="1B1B1B"/>
          <w:sz w:val="20"/>
        </w:rPr>
        <w:t>Rozporządzenie Ministra Gospodarki, Pracy i Polityki Społecznej z dnia 2 kwietnia 2004 r. w sprawie sposobów i warunków bezpiecznego użytkowania i usuwania wyrobów zawierających azbest </w:t>
      </w:r>
      <w:hyperlink r:id="rId9" w:history="1">
        <w:r w:rsidRPr="00A33FBF">
          <w:rPr>
            <w:rStyle w:val="Hipercze"/>
            <w:rFonts w:asciiTheme="majorHAnsi" w:hAnsiTheme="majorHAnsi" w:cs="Arial"/>
            <w:color w:val="0052A5"/>
            <w:sz w:val="20"/>
          </w:rPr>
          <w:t>Dz.U. 2004 nr 71 poz. 649</w:t>
        </w:r>
      </w:hyperlink>
    </w:p>
    <w:p w:rsidR="009C3A38" w:rsidRPr="00A33FBF" w:rsidRDefault="009C3A38" w:rsidP="009C3A38">
      <w:pPr>
        <w:pStyle w:val="title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="Arial"/>
          <w:color w:val="1B1B1B"/>
          <w:sz w:val="20"/>
        </w:rPr>
      </w:pPr>
      <w:r w:rsidRPr="00A33FBF">
        <w:rPr>
          <w:rFonts w:asciiTheme="majorHAnsi" w:hAnsiTheme="majorHAnsi" w:cs="Arial"/>
          <w:color w:val="1B1B1B"/>
          <w:sz w:val="20"/>
        </w:rPr>
        <w:t>Rozporządzenie Ministra Gospodarki i Pracy z dnia 14 października 2005 r. w sprawie zasad bezpieczeństwa i higieny pracy przy zabezpieczaniu i usuwaniu wyrobów zawierających azbest oraz programu szkolenia w zakresie bezpiecznego użytkowania takich wyrobów </w:t>
      </w:r>
      <w:hyperlink r:id="rId10" w:history="1">
        <w:r w:rsidRPr="00A33FBF">
          <w:rPr>
            <w:rStyle w:val="Hipercze"/>
            <w:rFonts w:asciiTheme="majorHAnsi" w:hAnsiTheme="majorHAnsi" w:cs="Arial"/>
            <w:color w:val="0052A5"/>
            <w:sz w:val="20"/>
          </w:rPr>
          <w:t>Dz.U. 2005 nr 216 poz. 1824</w:t>
        </w:r>
      </w:hyperlink>
    </w:p>
    <w:p w:rsidR="009C3A38" w:rsidRPr="00D103C6" w:rsidRDefault="009C3A38" w:rsidP="009C3A38">
      <w:pPr>
        <w:spacing w:line="240" w:lineRule="auto"/>
        <w:jc w:val="both"/>
        <w:rPr>
          <w:rFonts w:asciiTheme="majorHAnsi" w:hAnsiTheme="majorHAnsi"/>
        </w:rPr>
      </w:pPr>
    </w:p>
    <w:sectPr w:rsidR="009C3A38" w:rsidRPr="00D1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503D"/>
    <w:multiLevelType w:val="multilevel"/>
    <w:tmpl w:val="403C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8B74A5"/>
    <w:multiLevelType w:val="multilevel"/>
    <w:tmpl w:val="5472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A32882"/>
    <w:multiLevelType w:val="multilevel"/>
    <w:tmpl w:val="7972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424FEB"/>
    <w:multiLevelType w:val="multilevel"/>
    <w:tmpl w:val="4E48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73"/>
    <w:rsid w:val="00252C34"/>
    <w:rsid w:val="007355D9"/>
    <w:rsid w:val="009C3A38"/>
    <w:rsid w:val="00A33FBF"/>
    <w:rsid w:val="00D103C6"/>
    <w:rsid w:val="00D5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52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52C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C34"/>
    <w:rPr>
      <w:b/>
      <w:bCs/>
    </w:rPr>
  </w:style>
  <w:style w:type="paragraph" w:styleId="Akapitzlist">
    <w:name w:val="List Paragraph"/>
    <w:basedOn w:val="Normalny"/>
    <w:uiPriority w:val="34"/>
    <w:qFormat/>
    <w:rsid w:val="00D103C6"/>
    <w:pPr>
      <w:ind w:left="720"/>
      <w:contextualSpacing/>
    </w:pPr>
  </w:style>
  <w:style w:type="paragraph" w:customStyle="1" w:styleId="title">
    <w:name w:val="title"/>
    <w:basedOn w:val="Normalny"/>
    <w:rsid w:val="009C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3A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52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52C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2C34"/>
    <w:rPr>
      <w:b/>
      <w:bCs/>
    </w:rPr>
  </w:style>
  <w:style w:type="paragraph" w:styleId="Akapitzlist">
    <w:name w:val="List Paragraph"/>
    <w:basedOn w:val="Normalny"/>
    <w:uiPriority w:val="34"/>
    <w:qFormat/>
    <w:rsid w:val="00D103C6"/>
    <w:pPr>
      <w:ind w:left="720"/>
      <w:contextualSpacing/>
    </w:pPr>
  </w:style>
  <w:style w:type="paragraph" w:customStyle="1" w:styleId="title">
    <w:name w:val="title"/>
    <w:basedOn w:val="Normalny"/>
    <w:rsid w:val="009C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3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016210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sap.sejm.gov.pl/isap.nsf/DocDetails.xsp?id=WDU201100800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0000168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sap.sejm.gov.pl/isap.nsf/DocDetails.xsp?id=WDU200521618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0407106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lenovoi5</dc:creator>
  <cp:lastModifiedBy>lenovoi5</cp:lastModifiedBy>
  <cp:revision>1</cp:revision>
  <dcterms:created xsi:type="dcterms:W3CDTF">2025-01-20T08:19:00Z</dcterms:created>
  <dcterms:modified xsi:type="dcterms:W3CDTF">2025-01-20T09:14:00Z</dcterms:modified>
</cp:coreProperties>
</file>